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55" w:rsidRPr="0089492B" w:rsidRDefault="00E32855" w:rsidP="00F139C9">
      <w:pPr>
        <w:spacing w:after="240"/>
        <w:rPr>
          <w:sz w:val="22"/>
          <w:lang w:val="en-GB"/>
        </w:rPr>
      </w:pPr>
      <w:bookmarkStart w:id="0" w:name="_GoBack"/>
      <w:bookmarkEnd w:id="0"/>
      <w:r w:rsidRPr="0089492B">
        <w:rPr>
          <w:sz w:val="22"/>
          <w:lang w:val="en-GB"/>
        </w:rPr>
        <w:t>Rafræn</w:t>
      </w:r>
      <w:r w:rsidRPr="0089492B">
        <w:rPr>
          <w:spacing w:val="30"/>
          <w:sz w:val="22"/>
          <w:lang w:val="en-GB"/>
        </w:rPr>
        <w:t xml:space="preserve"> </w:t>
      </w:r>
      <w:r w:rsidRPr="0089492B">
        <w:rPr>
          <w:sz w:val="22"/>
          <w:lang w:val="en-GB"/>
        </w:rPr>
        <w:t>skilríki</w:t>
      </w:r>
    </w:p>
    <w:p w:rsidR="00E32855" w:rsidRPr="0089492B" w:rsidRDefault="00E32855" w:rsidP="00F139C9">
      <w:pPr>
        <w:spacing w:after="240"/>
        <w:jc w:val="both"/>
        <w:rPr>
          <w:sz w:val="22"/>
          <w:lang w:val="en-GB"/>
        </w:rPr>
      </w:pPr>
      <w:r w:rsidRPr="0089492B">
        <w:rPr>
          <w:sz w:val="22"/>
          <w:lang w:val="en-GB"/>
        </w:rPr>
        <w:t>Undirskrift með rafrænu skilríki hefur sambærilegt gildi og hefðbundin undirskrift. Rafræn undirskrift tengir upplýsingar við tiltekinn einstakling. Lög um rafrænar undirskriftir mynda lagaramma sem nauðsynlegur er til þess að tryggja gildi þeirra fyrir dómstólum.</w:t>
      </w:r>
    </w:p>
    <w:p w:rsidR="00E32855" w:rsidRPr="0089492B" w:rsidRDefault="00E32855" w:rsidP="00F139C9">
      <w:pPr>
        <w:spacing w:after="240"/>
        <w:jc w:val="both"/>
        <w:rPr>
          <w:sz w:val="22"/>
          <w:lang w:val="en-GB"/>
        </w:rPr>
      </w:pPr>
      <w:r w:rsidRPr="0089492B">
        <w:rPr>
          <w:sz w:val="22"/>
          <w:lang w:val="en-GB"/>
        </w:rPr>
        <w:t>Auðkenning</w:t>
      </w:r>
      <w:r w:rsidRPr="00B4406A">
        <w:rPr>
          <w:sz w:val="22"/>
          <w:lang w:val="en-GB"/>
        </w:rPr>
        <w:t xml:space="preserve"> </w:t>
      </w:r>
      <w:r w:rsidRPr="0089492B">
        <w:rPr>
          <w:sz w:val="22"/>
          <w:lang w:val="en-GB"/>
        </w:rPr>
        <w:t>með</w:t>
      </w:r>
      <w:r w:rsidRPr="00B4406A">
        <w:rPr>
          <w:sz w:val="22"/>
          <w:lang w:val="en-GB"/>
        </w:rPr>
        <w:t xml:space="preserve"> </w:t>
      </w:r>
      <w:r w:rsidRPr="0089492B">
        <w:rPr>
          <w:sz w:val="22"/>
          <w:lang w:val="en-GB"/>
        </w:rPr>
        <w:t>rafrænum</w:t>
      </w:r>
      <w:r w:rsidRPr="00B4406A">
        <w:rPr>
          <w:sz w:val="22"/>
          <w:lang w:val="en-GB"/>
        </w:rPr>
        <w:t xml:space="preserve"> </w:t>
      </w:r>
      <w:r w:rsidRPr="0089492B">
        <w:rPr>
          <w:sz w:val="22"/>
          <w:lang w:val="en-GB"/>
        </w:rPr>
        <w:t>skilríkjum</w:t>
      </w:r>
      <w:r w:rsidRPr="00B4406A">
        <w:rPr>
          <w:sz w:val="22"/>
          <w:lang w:val="en-GB"/>
        </w:rPr>
        <w:t xml:space="preserve"> </w:t>
      </w:r>
      <w:r w:rsidRPr="0089492B">
        <w:rPr>
          <w:sz w:val="22"/>
          <w:lang w:val="en-GB"/>
        </w:rPr>
        <w:t>er</w:t>
      </w:r>
      <w:r w:rsidRPr="00B4406A">
        <w:rPr>
          <w:sz w:val="22"/>
          <w:lang w:val="en-GB"/>
        </w:rPr>
        <w:t xml:space="preserve"> </w:t>
      </w:r>
      <w:r w:rsidRPr="0089492B">
        <w:rPr>
          <w:sz w:val="22"/>
          <w:lang w:val="en-GB"/>
        </w:rPr>
        <w:t>líkt</w:t>
      </w:r>
      <w:r w:rsidRPr="00B4406A">
        <w:rPr>
          <w:sz w:val="22"/>
          <w:lang w:val="en-GB"/>
        </w:rPr>
        <w:t xml:space="preserve"> </w:t>
      </w:r>
      <w:r w:rsidRPr="0089492B">
        <w:rPr>
          <w:sz w:val="22"/>
          <w:lang w:val="en-GB"/>
        </w:rPr>
        <w:t>og</w:t>
      </w:r>
      <w:r w:rsidRPr="00B4406A">
        <w:rPr>
          <w:sz w:val="22"/>
          <w:lang w:val="en-GB"/>
        </w:rPr>
        <w:t xml:space="preserve"> </w:t>
      </w:r>
      <w:r w:rsidRPr="0089492B">
        <w:rPr>
          <w:sz w:val="22"/>
          <w:lang w:val="en-GB"/>
        </w:rPr>
        <w:t>að</w:t>
      </w:r>
      <w:r w:rsidRPr="00B4406A">
        <w:rPr>
          <w:sz w:val="22"/>
          <w:lang w:val="en-GB"/>
        </w:rPr>
        <w:t xml:space="preserve"> </w:t>
      </w:r>
      <w:r w:rsidRPr="0089492B">
        <w:rPr>
          <w:sz w:val="22"/>
          <w:lang w:val="en-GB"/>
        </w:rPr>
        <w:t>framvísa</w:t>
      </w:r>
      <w:r w:rsidRPr="00B4406A">
        <w:rPr>
          <w:sz w:val="22"/>
          <w:lang w:val="en-GB"/>
        </w:rPr>
        <w:t xml:space="preserve"> </w:t>
      </w:r>
      <w:r w:rsidRPr="0089492B">
        <w:rPr>
          <w:sz w:val="22"/>
          <w:lang w:val="en-GB"/>
        </w:rPr>
        <w:t>vegabréfi</w:t>
      </w:r>
      <w:r w:rsidRPr="00B4406A">
        <w:rPr>
          <w:sz w:val="22"/>
          <w:lang w:val="en-GB"/>
        </w:rPr>
        <w:t xml:space="preserve"> </w:t>
      </w:r>
      <w:r w:rsidRPr="0089492B">
        <w:rPr>
          <w:sz w:val="22"/>
          <w:lang w:val="en-GB"/>
        </w:rPr>
        <w:t>á</w:t>
      </w:r>
      <w:r w:rsidRPr="00B4406A">
        <w:rPr>
          <w:sz w:val="22"/>
          <w:lang w:val="en-GB"/>
        </w:rPr>
        <w:t xml:space="preserve"> </w:t>
      </w:r>
      <w:r w:rsidRPr="0089492B">
        <w:rPr>
          <w:sz w:val="22"/>
          <w:lang w:val="en-GB"/>
        </w:rPr>
        <w:t>netinu.</w:t>
      </w:r>
      <w:r w:rsidRPr="00B4406A">
        <w:rPr>
          <w:sz w:val="22"/>
          <w:lang w:val="en-GB"/>
        </w:rPr>
        <w:t xml:space="preserve"> </w:t>
      </w:r>
      <w:r w:rsidRPr="0089492B">
        <w:rPr>
          <w:sz w:val="22"/>
          <w:lang w:val="en-GB"/>
        </w:rPr>
        <w:t>Mörg fyrirtæki og stofnanir geta aukið þjónustu sína á netinu ef þau geta treyst því að viðskiptavinurinn sé sá sem hann segist vera. Rafræn skilríki skapa það traust.</w:t>
      </w:r>
    </w:p>
    <w:p w:rsidR="00E32855" w:rsidRPr="0089492B" w:rsidRDefault="00E32855" w:rsidP="00F139C9">
      <w:pPr>
        <w:spacing w:after="240"/>
        <w:rPr>
          <w:sz w:val="22"/>
          <w:lang w:val="en-GB"/>
        </w:rPr>
      </w:pPr>
      <w:r w:rsidRPr="0089492B">
        <w:rPr>
          <w:sz w:val="22"/>
          <w:lang w:val="en-GB"/>
        </w:rPr>
        <w:t>Mörg fyrirtæki og stofnanir hafa tekið rafræn skilríki í þjónustu sína.</w:t>
      </w:r>
    </w:p>
    <w:p w:rsidR="00E32855" w:rsidRPr="0089492B" w:rsidRDefault="00E32855" w:rsidP="00E32855">
      <w:pPr>
        <w:rPr>
          <w:sz w:val="22"/>
          <w:lang w:val="en-GB"/>
        </w:rPr>
      </w:pPr>
      <w:r w:rsidRPr="0089492B">
        <w:rPr>
          <w:b/>
          <w:sz w:val="22"/>
          <w:lang w:val="en-GB"/>
        </w:rPr>
        <w:t>Ríkisstofnanir</w:t>
      </w:r>
    </w:p>
    <w:p w:rsidR="00E32855" w:rsidRPr="0089492B" w:rsidRDefault="00E32855" w:rsidP="00E32855">
      <w:pPr>
        <w:rPr>
          <w:sz w:val="22"/>
          <w:lang w:val="en-GB"/>
        </w:rPr>
      </w:pPr>
      <w:r w:rsidRPr="0089492B">
        <w:rPr>
          <w:sz w:val="22"/>
          <w:lang w:val="en-GB"/>
        </w:rPr>
        <w:t xml:space="preserve">Háskóli Íslands – Ugla </w:t>
      </w:r>
    </w:p>
    <w:p w:rsidR="00E32855" w:rsidRPr="0089492B" w:rsidRDefault="00E32855" w:rsidP="00E32855">
      <w:pPr>
        <w:rPr>
          <w:sz w:val="22"/>
          <w:lang w:val="en-GB"/>
        </w:rPr>
      </w:pPr>
      <w:r w:rsidRPr="0089492B">
        <w:rPr>
          <w:sz w:val="22"/>
          <w:lang w:val="en-GB"/>
        </w:rPr>
        <w:t xml:space="preserve">Rafræn Neytendastofa </w:t>
      </w:r>
    </w:p>
    <w:p w:rsidR="00E32855" w:rsidRPr="0089492B" w:rsidRDefault="00E32855" w:rsidP="00E32855">
      <w:pPr>
        <w:rPr>
          <w:sz w:val="22"/>
          <w:lang w:val="en-GB"/>
        </w:rPr>
      </w:pPr>
      <w:r w:rsidRPr="0089492B">
        <w:rPr>
          <w:sz w:val="22"/>
          <w:lang w:val="en-GB"/>
        </w:rPr>
        <w:t xml:space="preserve">Tollstjóri – VEF-tollafgreiðsla og VEF-farmskrárskil </w:t>
      </w:r>
    </w:p>
    <w:p w:rsidR="00E32855" w:rsidRPr="0089492B" w:rsidRDefault="00E32855" w:rsidP="00E32855">
      <w:pPr>
        <w:rPr>
          <w:sz w:val="22"/>
          <w:lang w:val="en-GB"/>
        </w:rPr>
      </w:pPr>
      <w:r w:rsidRPr="0089492B">
        <w:rPr>
          <w:sz w:val="22"/>
          <w:lang w:val="en-GB"/>
        </w:rPr>
        <w:t xml:space="preserve">Tryggur.is – Þjónustuvefur Tryggingastofnunar </w:t>
      </w:r>
    </w:p>
    <w:p w:rsidR="00E32855" w:rsidRPr="0089492B" w:rsidRDefault="00E32855" w:rsidP="00E32855">
      <w:pPr>
        <w:rPr>
          <w:sz w:val="22"/>
          <w:lang w:val="en-GB"/>
        </w:rPr>
      </w:pPr>
      <w:r w:rsidRPr="0089492B">
        <w:rPr>
          <w:sz w:val="22"/>
          <w:lang w:val="en-GB"/>
        </w:rPr>
        <w:t xml:space="preserve">Þjónustuvefur skattstjóra </w:t>
      </w:r>
    </w:p>
    <w:p w:rsidR="00E32855" w:rsidRPr="0089492B" w:rsidRDefault="00E32855" w:rsidP="00E32855">
      <w:pPr>
        <w:rPr>
          <w:sz w:val="22"/>
          <w:lang w:val="en-GB"/>
        </w:rPr>
      </w:pPr>
      <w:r w:rsidRPr="0089492B">
        <w:rPr>
          <w:b/>
          <w:sz w:val="22"/>
          <w:lang w:val="en-GB"/>
        </w:rPr>
        <w:t>Sveitafélög</w:t>
      </w:r>
    </w:p>
    <w:p w:rsidR="00E32855" w:rsidRPr="0089492B" w:rsidRDefault="00E32855" w:rsidP="00E32855">
      <w:pPr>
        <w:rPr>
          <w:sz w:val="22"/>
          <w:lang w:val="en-GB"/>
        </w:rPr>
      </w:pPr>
      <w:r w:rsidRPr="0089492B">
        <w:rPr>
          <w:sz w:val="22"/>
          <w:lang w:val="en-GB"/>
        </w:rPr>
        <w:t xml:space="preserve">Íbúagátt Hafnarfjarðar </w:t>
      </w:r>
    </w:p>
    <w:p w:rsidR="00E32855" w:rsidRPr="0089492B" w:rsidRDefault="00E32855" w:rsidP="00E32855">
      <w:pPr>
        <w:rPr>
          <w:sz w:val="22"/>
          <w:lang w:val="en-GB"/>
        </w:rPr>
      </w:pPr>
      <w:r w:rsidRPr="0089492B">
        <w:rPr>
          <w:sz w:val="22"/>
          <w:lang w:val="en-GB"/>
        </w:rPr>
        <w:t xml:space="preserve">Íbúagátt Mosfellsbæjar </w:t>
      </w:r>
    </w:p>
    <w:p w:rsidR="00E32855" w:rsidRPr="0089492B" w:rsidRDefault="00E32855" w:rsidP="00E32855">
      <w:pPr>
        <w:rPr>
          <w:sz w:val="22"/>
          <w:lang w:val="en-GB"/>
        </w:rPr>
      </w:pPr>
      <w:r w:rsidRPr="0089492B">
        <w:rPr>
          <w:sz w:val="22"/>
          <w:lang w:val="en-GB"/>
        </w:rPr>
        <w:t xml:space="preserve">Minn Garðabær </w:t>
      </w:r>
    </w:p>
    <w:p w:rsidR="00E32855" w:rsidRPr="0089492B" w:rsidRDefault="00E32855" w:rsidP="00E32855">
      <w:pPr>
        <w:rPr>
          <w:sz w:val="22"/>
          <w:lang w:val="en-GB"/>
        </w:rPr>
      </w:pPr>
      <w:r w:rsidRPr="0089492B">
        <w:rPr>
          <w:sz w:val="22"/>
          <w:lang w:val="en-GB"/>
        </w:rPr>
        <w:t xml:space="preserve">Rafræn Reykjavík </w:t>
      </w:r>
    </w:p>
    <w:p w:rsidR="00E32855" w:rsidRPr="0089492B" w:rsidRDefault="00E32855" w:rsidP="00E32855">
      <w:pPr>
        <w:rPr>
          <w:sz w:val="22"/>
          <w:lang w:val="en-GB"/>
        </w:rPr>
      </w:pPr>
      <w:r w:rsidRPr="0089492B">
        <w:rPr>
          <w:sz w:val="22"/>
          <w:lang w:val="en-GB"/>
        </w:rPr>
        <w:t xml:space="preserve">Rafrænt Seltjarnarnes </w:t>
      </w:r>
    </w:p>
    <w:p w:rsidR="00E32855" w:rsidRPr="0089492B" w:rsidRDefault="00E32855" w:rsidP="00E32855">
      <w:pPr>
        <w:rPr>
          <w:sz w:val="22"/>
          <w:lang w:val="en-GB"/>
        </w:rPr>
      </w:pPr>
      <w:r w:rsidRPr="0089492B">
        <w:rPr>
          <w:b/>
          <w:sz w:val="22"/>
          <w:lang w:val="en-GB"/>
        </w:rPr>
        <w:t>Fyrirtæki</w:t>
      </w:r>
    </w:p>
    <w:p w:rsidR="00E32855" w:rsidRPr="0089492B" w:rsidRDefault="00E32855" w:rsidP="00E32855">
      <w:pPr>
        <w:rPr>
          <w:sz w:val="22"/>
          <w:lang w:val="en-GB"/>
        </w:rPr>
      </w:pPr>
      <w:r w:rsidRPr="0089492B">
        <w:rPr>
          <w:sz w:val="22"/>
          <w:lang w:val="en-GB"/>
        </w:rPr>
        <w:t xml:space="preserve">Arion – innskráning í netbanka </w:t>
      </w:r>
    </w:p>
    <w:p w:rsidR="00E32855" w:rsidRPr="0089492B" w:rsidRDefault="001D1D45" w:rsidP="00E32855">
      <w:pPr>
        <w:rPr>
          <w:sz w:val="22"/>
          <w:lang w:val="en-GB"/>
        </w:rPr>
      </w:pPr>
      <w:r w:rsidRPr="0089492B">
        <w:rPr>
          <w:sz w:val="22"/>
          <w:lang w:val="en-GB"/>
        </w:rPr>
        <w:t>Íslandsbanki</w:t>
      </w:r>
      <w:r w:rsidR="00E32855" w:rsidRPr="0089492B">
        <w:rPr>
          <w:sz w:val="22"/>
          <w:lang w:val="en-GB"/>
        </w:rPr>
        <w:t xml:space="preserve"> – innskráning í netbanka </w:t>
      </w:r>
    </w:p>
    <w:p w:rsidR="00E32855" w:rsidRPr="0089492B" w:rsidRDefault="00E32855" w:rsidP="00E32855">
      <w:pPr>
        <w:rPr>
          <w:sz w:val="22"/>
          <w:lang w:val="en-GB"/>
        </w:rPr>
      </w:pPr>
      <w:r w:rsidRPr="0089492B">
        <w:rPr>
          <w:sz w:val="22"/>
          <w:lang w:val="en-GB"/>
        </w:rPr>
        <w:t xml:space="preserve">Landsbanki – innskráning í einkabanka </w:t>
      </w:r>
    </w:p>
    <w:p w:rsidR="00E32855" w:rsidRPr="0089492B" w:rsidRDefault="00E32855" w:rsidP="00E32855">
      <w:pPr>
        <w:rPr>
          <w:sz w:val="22"/>
          <w:lang w:val="en-GB"/>
        </w:rPr>
      </w:pPr>
      <w:r w:rsidRPr="0089492B">
        <w:rPr>
          <w:sz w:val="22"/>
          <w:lang w:val="en-GB"/>
        </w:rPr>
        <w:t>MP-banki – innskráning í netbanka</w:t>
      </w:r>
    </w:p>
    <w:p w:rsidR="00E32855" w:rsidRPr="0089492B" w:rsidRDefault="00E32855" w:rsidP="00E32855">
      <w:pPr>
        <w:rPr>
          <w:sz w:val="22"/>
          <w:lang w:val="en-GB"/>
        </w:rPr>
      </w:pPr>
      <w:r w:rsidRPr="0089492B">
        <w:rPr>
          <w:sz w:val="22"/>
          <w:lang w:val="en-GB"/>
        </w:rPr>
        <w:t xml:space="preserve">Námskjár – kennslukerfi </w:t>
      </w:r>
    </w:p>
    <w:p w:rsidR="00E32855" w:rsidRPr="0089492B" w:rsidRDefault="00E32855" w:rsidP="00E32855">
      <w:pPr>
        <w:rPr>
          <w:sz w:val="22"/>
          <w:lang w:val="en-GB"/>
        </w:rPr>
      </w:pPr>
      <w:r w:rsidRPr="0089492B">
        <w:rPr>
          <w:sz w:val="22"/>
          <w:lang w:val="en-GB"/>
        </w:rPr>
        <w:t xml:space="preserve">Sparisjóðirnir – innskráning í heimabanka </w:t>
      </w:r>
    </w:p>
    <w:p w:rsidR="00E32855" w:rsidRPr="0089492B" w:rsidRDefault="00E32855" w:rsidP="00E32855">
      <w:pPr>
        <w:rPr>
          <w:sz w:val="22"/>
          <w:lang w:val="en-GB"/>
        </w:rPr>
      </w:pPr>
      <w:r w:rsidRPr="0089492B">
        <w:rPr>
          <w:b/>
          <w:sz w:val="22"/>
          <w:lang w:val="en-GB"/>
        </w:rPr>
        <w:t>Aðrir</w:t>
      </w:r>
      <w:r w:rsidRPr="0089492B">
        <w:rPr>
          <w:sz w:val="22"/>
          <w:lang w:val="en-GB"/>
        </w:rPr>
        <w:t xml:space="preserve"> </w:t>
      </w:r>
      <w:r w:rsidRPr="0089492B">
        <w:rPr>
          <w:b/>
          <w:sz w:val="22"/>
          <w:lang w:val="en-GB"/>
        </w:rPr>
        <w:t>aðilar</w:t>
      </w:r>
    </w:p>
    <w:p w:rsidR="00F96AA3" w:rsidRPr="0089492B" w:rsidRDefault="00E32855" w:rsidP="00E32855">
      <w:pPr>
        <w:rPr>
          <w:sz w:val="22"/>
          <w:lang w:val="en-GB"/>
        </w:rPr>
      </w:pPr>
      <w:r w:rsidRPr="0089492B">
        <w:rPr>
          <w:sz w:val="22"/>
          <w:lang w:val="en-GB"/>
        </w:rPr>
        <w:t>VR – innskráning á mínar síður</w:t>
      </w:r>
    </w:p>
    <w:p w:rsidR="00E32855" w:rsidRPr="0089492B" w:rsidRDefault="00E32855" w:rsidP="00E32855">
      <w:pPr>
        <w:rPr>
          <w:sz w:val="22"/>
          <w:lang w:val="en-GB"/>
        </w:rPr>
      </w:pPr>
    </w:p>
    <w:p w:rsidR="00E32855" w:rsidRPr="0089492B" w:rsidRDefault="00E32855" w:rsidP="00E32855">
      <w:pPr>
        <w:rPr>
          <w:sz w:val="22"/>
          <w:lang w:val="en-GB"/>
        </w:rPr>
      </w:pPr>
    </w:p>
    <w:sectPr w:rsidR="00E32855" w:rsidRPr="0089492B" w:rsidSect="00B4406A">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9B" w:rsidRDefault="00E0259B" w:rsidP="00E32855">
      <w:r>
        <w:separator/>
      </w:r>
    </w:p>
  </w:endnote>
  <w:endnote w:type="continuationSeparator" w:id="0">
    <w:p w:rsidR="00E0259B" w:rsidRDefault="00E0259B" w:rsidP="00E3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9B" w:rsidRDefault="00E0259B" w:rsidP="00E32855">
      <w:r>
        <w:separator/>
      </w:r>
    </w:p>
  </w:footnote>
  <w:footnote w:type="continuationSeparator" w:id="0">
    <w:p w:rsidR="00E0259B" w:rsidRDefault="00E0259B" w:rsidP="00E3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55"/>
    <w:rsid w:val="00175525"/>
    <w:rsid w:val="0018556F"/>
    <w:rsid w:val="001933B4"/>
    <w:rsid w:val="001D1D45"/>
    <w:rsid w:val="001E740C"/>
    <w:rsid w:val="00221E7E"/>
    <w:rsid w:val="0032112A"/>
    <w:rsid w:val="00365F71"/>
    <w:rsid w:val="0037143A"/>
    <w:rsid w:val="00392ED0"/>
    <w:rsid w:val="004D76E7"/>
    <w:rsid w:val="00517E87"/>
    <w:rsid w:val="006E4196"/>
    <w:rsid w:val="0089492B"/>
    <w:rsid w:val="008B0C0B"/>
    <w:rsid w:val="008B26AF"/>
    <w:rsid w:val="00A3547E"/>
    <w:rsid w:val="00A65C90"/>
    <w:rsid w:val="00B4406A"/>
    <w:rsid w:val="00BD318D"/>
    <w:rsid w:val="00C31BAE"/>
    <w:rsid w:val="00C3291A"/>
    <w:rsid w:val="00C43806"/>
    <w:rsid w:val="00E0259B"/>
    <w:rsid w:val="00E32855"/>
    <w:rsid w:val="00E46C0C"/>
    <w:rsid w:val="00F139C9"/>
    <w:rsid w:val="00F33F46"/>
    <w:rsid w:val="00F96AA3"/>
    <w:rsid w:val="00FA2318"/>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AF"/>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3291A"/>
    <w:pPr>
      <w:ind w:right="397"/>
    </w:pPr>
    <w:rPr>
      <w:rFonts w:asciiTheme="minorHAnsi" w:hAnsiTheme="minorHAnsi"/>
      <w:sz w:val="20"/>
      <w:szCs w:val="22"/>
    </w:rPr>
  </w:style>
  <w:style w:type="character" w:customStyle="1" w:styleId="FootnoteTextChar">
    <w:name w:val="Footnote Text Char"/>
    <w:basedOn w:val="DefaultParagraphFont"/>
    <w:link w:val="FootnoteText"/>
    <w:rsid w:val="00C3291A"/>
    <w:rPr>
      <w:rFonts w:eastAsia="Times New Roman" w:cs="Times New Roman"/>
      <w:sz w:val="20"/>
      <w:lang w:val="en-US"/>
    </w:rPr>
  </w:style>
  <w:style w:type="character" w:styleId="FootnoteReference">
    <w:name w:val="footnote reference"/>
    <w:basedOn w:val="DefaultParagraphFont"/>
    <w:rsid w:val="00E32855"/>
    <w:rPr>
      <w:vertAlign w:val="superscript"/>
    </w:rPr>
  </w:style>
  <w:style w:type="paragraph" w:styleId="ListParagraph">
    <w:name w:val="List Paragraph"/>
    <w:basedOn w:val="Normal"/>
    <w:uiPriority w:val="34"/>
    <w:qFormat/>
    <w:rsid w:val="00E32855"/>
    <w:pPr>
      <w:ind w:left="720"/>
      <w:contextualSpacing/>
    </w:pPr>
  </w:style>
  <w:style w:type="paragraph" w:styleId="Header">
    <w:name w:val="header"/>
    <w:basedOn w:val="Normal"/>
    <w:link w:val="HeaderChar"/>
    <w:uiPriority w:val="99"/>
    <w:unhideWhenUsed/>
    <w:rsid w:val="008B26AF"/>
    <w:pPr>
      <w:tabs>
        <w:tab w:val="center" w:pos="4536"/>
        <w:tab w:val="right" w:pos="9072"/>
      </w:tabs>
    </w:pPr>
    <w:rPr>
      <w:sz w:val="20"/>
    </w:rPr>
  </w:style>
  <w:style w:type="character" w:customStyle="1" w:styleId="HeaderChar">
    <w:name w:val="Header Char"/>
    <w:basedOn w:val="DefaultParagraphFont"/>
    <w:link w:val="Header"/>
    <w:uiPriority w:val="99"/>
    <w:rsid w:val="008B26AF"/>
    <w:rPr>
      <w:rFonts w:ascii="Calibri" w:eastAsia="Times New Roman" w:hAnsi="Calibri" w:cs="Times New Roman"/>
      <w:sz w:val="20"/>
      <w:szCs w:val="24"/>
      <w:lang w:val="en-US"/>
    </w:rPr>
  </w:style>
  <w:style w:type="paragraph" w:styleId="Footer">
    <w:name w:val="footer"/>
    <w:basedOn w:val="Normal"/>
    <w:link w:val="FooterChar"/>
    <w:uiPriority w:val="99"/>
    <w:unhideWhenUsed/>
    <w:rsid w:val="008B26AF"/>
    <w:pPr>
      <w:tabs>
        <w:tab w:val="center" w:pos="4536"/>
        <w:tab w:val="right" w:pos="9072"/>
      </w:tabs>
    </w:pPr>
  </w:style>
  <w:style w:type="character" w:customStyle="1" w:styleId="FooterChar">
    <w:name w:val="Footer Char"/>
    <w:basedOn w:val="DefaultParagraphFont"/>
    <w:link w:val="Footer"/>
    <w:uiPriority w:val="99"/>
    <w:rsid w:val="008B26AF"/>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B26AF"/>
    <w:rPr>
      <w:rFonts w:ascii="Tahoma" w:hAnsi="Tahoma" w:cs="Tahoma"/>
      <w:sz w:val="16"/>
      <w:szCs w:val="16"/>
    </w:rPr>
  </w:style>
  <w:style w:type="character" w:customStyle="1" w:styleId="BalloonTextChar">
    <w:name w:val="Balloon Text Char"/>
    <w:basedOn w:val="DefaultParagraphFont"/>
    <w:link w:val="BalloonText"/>
    <w:uiPriority w:val="99"/>
    <w:semiHidden/>
    <w:rsid w:val="008B26A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AF"/>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3291A"/>
    <w:pPr>
      <w:ind w:right="397"/>
    </w:pPr>
    <w:rPr>
      <w:rFonts w:asciiTheme="minorHAnsi" w:hAnsiTheme="minorHAnsi"/>
      <w:sz w:val="20"/>
      <w:szCs w:val="22"/>
    </w:rPr>
  </w:style>
  <w:style w:type="character" w:customStyle="1" w:styleId="FootnoteTextChar">
    <w:name w:val="Footnote Text Char"/>
    <w:basedOn w:val="DefaultParagraphFont"/>
    <w:link w:val="FootnoteText"/>
    <w:rsid w:val="00C3291A"/>
    <w:rPr>
      <w:rFonts w:eastAsia="Times New Roman" w:cs="Times New Roman"/>
      <w:sz w:val="20"/>
      <w:lang w:val="en-US"/>
    </w:rPr>
  </w:style>
  <w:style w:type="character" w:styleId="FootnoteReference">
    <w:name w:val="footnote reference"/>
    <w:basedOn w:val="DefaultParagraphFont"/>
    <w:rsid w:val="00E32855"/>
    <w:rPr>
      <w:vertAlign w:val="superscript"/>
    </w:rPr>
  </w:style>
  <w:style w:type="paragraph" w:styleId="ListParagraph">
    <w:name w:val="List Paragraph"/>
    <w:basedOn w:val="Normal"/>
    <w:uiPriority w:val="34"/>
    <w:qFormat/>
    <w:rsid w:val="00E32855"/>
    <w:pPr>
      <w:ind w:left="720"/>
      <w:contextualSpacing/>
    </w:pPr>
  </w:style>
  <w:style w:type="paragraph" w:styleId="Header">
    <w:name w:val="header"/>
    <w:basedOn w:val="Normal"/>
    <w:link w:val="HeaderChar"/>
    <w:uiPriority w:val="99"/>
    <w:unhideWhenUsed/>
    <w:rsid w:val="008B26AF"/>
    <w:pPr>
      <w:tabs>
        <w:tab w:val="center" w:pos="4536"/>
        <w:tab w:val="right" w:pos="9072"/>
      </w:tabs>
    </w:pPr>
    <w:rPr>
      <w:sz w:val="20"/>
    </w:rPr>
  </w:style>
  <w:style w:type="character" w:customStyle="1" w:styleId="HeaderChar">
    <w:name w:val="Header Char"/>
    <w:basedOn w:val="DefaultParagraphFont"/>
    <w:link w:val="Header"/>
    <w:uiPriority w:val="99"/>
    <w:rsid w:val="008B26AF"/>
    <w:rPr>
      <w:rFonts w:ascii="Calibri" w:eastAsia="Times New Roman" w:hAnsi="Calibri" w:cs="Times New Roman"/>
      <w:sz w:val="20"/>
      <w:szCs w:val="24"/>
      <w:lang w:val="en-US"/>
    </w:rPr>
  </w:style>
  <w:style w:type="paragraph" w:styleId="Footer">
    <w:name w:val="footer"/>
    <w:basedOn w:val="Normal"/>
    <w:link w:val="FooterChar"/>
    <w:uiPriority w:val="99"/>
    <w:unhideWhenUsed/>
    <w:rsid w:val="008B26AF"/>
    <w:pPr>
      <w:tabs>
        <w:tab w:val="center" w:pos="4536"/>
        <w:tab w:val="right" w:pos="9072"/>
      </w:tabs>
    </w:pPr>
  </w:style>
  <w:style w:type="character" w:customStyle="1" w:styleId="FooterChar">
    <w:name w:val="Footer Char"/>
    <w:basedOn w:val="DefaultParagraphFont"/>
    <w:link w:val="Footer"/>
    <w:uiPriority w:val="99"/>
    <w:rsid w:val="008B26AF"/>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B26AF"/>
    <w:rPr>
      <w:rFonts w:ascii="Tahoma" w:hAnsi="Tahoma" w:cs="Tahoma"/>
      <w:sz w:val="16"/>
      <w:szCs w:val="16"/>
    </w:rPr>
  </w:style>
  <w:style w:type="character" w:customStyle="1" w:styleId="BalloonTextChar">
    <w:name w:val="Balloon Text Char"/>
    <w:basedOn w:val="DefaultParagraphFont"/>
    <w:link w:val="BalloonText"/>
    <w:uiPriority w:val="99"/>
    <w:semiHidden/>
    <w:rsid w:val="008B26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8E9D-E418-4ACE-8443-EA578600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Jóhanna Geirsdóttir</cp:lastModifiedBy>
  <cp:revision>15</cp:revision>
  <dcterms:created xsi:type="dcterms:W3CDTF">2010-07-26T21:09:00Z</dcterms:created>
  <dcterms:modified xsi:type="dcterms:W3CDTF">2013-02-14T15:29:00Z</dcterms:modified>
</cp:coreProperties>
</file>